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27.12.2022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не признает их уважительными. Заявитель являлся инициатором подачи кассационной жалобы, его представитель присутствовал в судебном заседании суда округа, судебный акт своевременно размещен в сети Интернет. Заявитель знал о состоявшихся судебных актах и, намереваясь обжаловать постановление суда кассационной инстанции, имел реальную возможность ознакомиться с судебным актом суда округа и в предусмотренный законодательством срок принять своевременные меры, необходимые для подготовки и подачи кассационной жалобы. При этом согласно пункту 30 постановления Пленума Высшего Арбитражного Суда Российской Федерации от 25.12.2013 № 99 «О процессуальных сроках» срок на подачу кассационной жалобы исчисляется с даты изготовления арбитражным судом судебного акта в полном объеме.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казенного учреждения «Исправительная колония № 13 с особыми условиями хозяйственной деятельности Главного управления Федеральной службы исполнения наказаний по Пермскому краю»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