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21.12.2022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 не признает их уважительными. Заявитель являлся инициатором подачи кассационной жалобы, его представитель присутствовал в судебном заседании суда округа, судебный акт своевременно размещен в сети Интернет. Заявитель знал о состоявшихся судебных актах и, намереваясь обжаловать постановление суда кассационной инстанции, имел реальную возможность ознакомиться с судебным актом суда округа и в предусмотренный законодательством срок принять своевременные меры, необходимые для подготовки и подачи кассационной жалобы. В соответствии с правовой позицией,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не могут рассматриваться в качестве уважительных причин необходимость согласования с вышестоящим органом (иным лицом) вопроса о подаче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«Дакт- Инжиниринг» о восстановлении пропущенного срока отказать, кассационную жалобу возвратить заявителю.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