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судами норм права, просит пересмотреть в кассационном порядке указанные судебные акты.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Исследовав и оценив представленные доказательства в обоснование требования третьего лица о взыскании судебных расходов, установив факт их несения в заявленном размере, учитывая конкретные обстоятельства дела, 2 процессуальную активность участвующих в деле лиц, а также характер спора, степень сложности дела, продолжительность его рассмотрения, объем выполненной представителем работы, руководствуясь статьями 101, 106, 110 Арбитражного процессуального кодекса Российской Федерации, разъяснениями, изложенными в постановлении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суды признали расходы третьего лица разумными и подлежащими возмещению в полном объеме за счет истца. Приведенные в кассационной жалобе доводы не подтверждают существенных нарушений судами норм права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Санкт-Петербургского государственного казенного учреждения «Фонд капитального строительства и реконструкции»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