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9 января 2023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кассационной жалобе ставится вопрос о ее передаче для рассмотрения в судебном заседании Судебной коллегии по экономическим спорам Верховного Суда Российской Федерации. По смыслу части 1 статьи 291.1, части 7 статьи 291.6, статьи 291.11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Федерации, если изложенные в ней доводы подтверждают наличие существенных нарушений норм материального права и (или) норм процессуального права, повлиявших на исход дела,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деятельности. Суд апелляционной инстанции, поддержанный судом округа, руководствуясь статьями 1, 10, 170, 421, 424, 711, 779, 781 Гражданского кодекса Российской Федерации, исследовав и оценив представленные в материалы дела доказательства по правилам статьи 71 Арбитражного процессуального кодекса Российской Федерации, применив повышенный 2 стандарт доказывания в связи с нахождением ответчика в процедуре банкротства, признав недоказанным факт оказания истцом услуг ответчику, отказал в удовлетворении иска. Из содержания судебных актов следует, что суд апелляционной инстанции всесторонне исследовал доказательства по делу, установил необходимые для разрешения спора обстоятельства, а суд округа дал надлежащую правовую оценку доводам заявителя. Доводы кассационной жалобы не подтверждают существенных нарушений судами апелляционной и кассационной инстанций норм права, повлиявших на исход дела, и в силу статьи 291.6 Арбитражного процессуального кодекса Российской Федерации не являются основанием для передачи жалобы для рассмотрения в судебном заседании Судебной коллегии Верховного Суда Российской Федерации. Руководствуясь статьями 291.6, 291.8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передаче кассационной жалобы общества с ограниченной ответственностью «Основной Актив»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Н.С. Чучунова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