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Юхвидина П.М. в Арбитражный суд Московской области обратился Гачман В.В. с заявлением о включении в реестр требований кредиторов должника 36 451 270 рублей 10 копеек задолженности. Определением Арбитражного суда Московской области от 29.03.2022 в удовлетворении ходатайства кредитора о восстановлении пропущенного срока отказано; требование Гачмана В.В. в сумме 36 451 270 рублей 10 копеек, из которых 35 925 762 рубля 60 копеек основного долга и 525 507 рублей процентов за пользование чужими денежными средствами, признано обоснованным и подлежащим удовлетворению за счет имущества, оставшегося после удовлетворения требований, включенных в реестр требований кредиторов должника. Постановлением Десятого арбитражного апелляционного суда от 23.05.2022 определение суда первой инстанции отменено, в удовлетворении заявления о включении требования в реестр требований кредиторов должника отказано. 2 Арбитражный суд Московского округа постановлением от 18.10.2022 постановление суда апелляционной инстанции отменил и оставил в силе определение суда первой инстанции. Должник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Признавая требование кредитора обоснованным, суды первой и кассационной инстанций руководствовались статьями 807, 808 Гражданского кодекса Российской Федерации,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наличия достаточных доказательств, свидетельствующих о реальности заемных отношений между должником и кредитором. Установив, что требование заявлено после закрытия реестра требований кредиторов должника и отсутствуют основания для восстановления пропущенного срока для предъявления требования, суды признали требование подлежащим удовлетворению за счет имущества, оставшегося после удовлетворения требований, включенных в реестр требований кредиторов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