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в кассационном порядке указанный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 исследовали все обстоятельства, имеющие существенное значение для правильного разрешения спора.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