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восстановлении пропущенного срока подачи кассационной жалобы и возвращая жалобу, суд округа, руководствуясь положениями статей 114, 117, 276,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2 исходил из того, что приведенные заявителем причины пропуска срока не являются уважительными.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Изложенные в кассационной жалобе доводы не подтверждают нарушений судом округа норм процессуального права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«Петр Великий»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