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196, 199, 200, 309, 310, 807, 810, 2 811, 812 Гражданского кодекса Российской Федерации, суды первой и апелляционной инстанций, с которыми впоследствии согласился суд округа, отказали в удовлетворении иска, исходя из недоказанности факта предоставления истцом займа ответчику в заявленном размере и пропуска истцом срока исковой давности.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Кисиля Леонида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