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доказательства в обоснование требования ответчика о взыскании судебных расходов, понесенных на оплату услуг представителя, руководствуясь статьями 101, 106, 110, 112 Арбитражного процессуального кодекса Российской Федерации с учетом разъяснений, 2 приведенных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характер спора, степень сложности дела, объем выполненной представителем работы, а также необходимость соблюдения баланса интересов сторон, суд первой инстанции пришел к выводу о наличии оснований для частичного взыскания с истца судебных расходов. Суды апелляционной инстанции и округа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«Карсервис»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