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 ставится вопрос о ее передаче для рассмотрения в судебном заседании Судебной коллегии по экономическим спорам Верховного Суда Российской Федерации.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Возвращая апелляционную жалобу заявителя, суд апелляционной инстанции руководствовался положениями статей 113, 114, 117, 121, 229, 257, 259, 264 Арбитражного процессуального кодекса Российской Федерации и исходил из того, что жалоба подана по истечении срока ее подачи и не содержит ходатайства о его восстановлении. 2 Суд округа поддержал выводы апелляционного суда. Доводы кассационной жалобы не опровергают приведенные выводы судов апелляционной и кассационной инстанций, не подтверждают нарушений судами норм процессуального права 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товарищества собственников недвижимости «Надежда Плюс»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