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процессуального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Отказывая в удовлетворении заявления о принятии обеспечительных мер, суды пришли к выводу, что заявителем не приведено достаточных обоснований, в соответствии с которыми непринятие обеспечительных мер 2 повлечет последствия, указанные в части 2 статьи 90 Арбитражного процессуального кодекса Российской Федерации. Принимая обжалуемые судебные акты, суды руководствовались нормами процессуального права с учетом разъяснений, изложенных в постановлении Пленума Высшего Арбитражного Суда Российской Федерации от 09.12.2002 № 11 «О некоторых вопросах, связанных с введением в действие Арбитражного процессуального кодекса Российской Федерации», постановлении Пленума Высшего Арбитражного Суда Российской Федерации от 12.10.2006 № 55 «О применении арбитражными судами обеспечительных мер».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«ТрастАгро-Нива 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