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Серегина Владимира Владимировича в Арбитражный суд города Москвы обратилась финансовый управляющий его имуществом Пустынникова Юлия Вадимовна с заявлением о признании недействительной сделки по перечислению должником в пользу Серегиной С.Л. денежных средств в размере 127 439, 11 евро и применении последствий недействительности сделки. Определением Арбитражного суда города Москвы от 27.04.2022 в удовлетворении заявления отказано. Постановлением Девятого арбитражного апелляционного суда от 11.07.2022 определение суда первой инстанции отменено, сделка признана недействительной, применены последствия недействительности сделки в виде взыскания с Серегиной С.Л. в конкурсную массу должника спорной суммы денежных средств. Арбитражный суд Московского округа постановлением от 27.10.2022 постановление апелляционного суда оставил без изменения. Серегина С.Л.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операции по перечислению денежных средств в пользу бывшей супруги должника – заинтересованного лица совершены безвозмездно, при наличии у должника неисполненных обязательств перед кредиторами, с целью причинения вреда имущественным правам кредиторов,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суды пришли к выводу о доказанности наличия оснований для признания оспариваемых платежей недействительными сделками, признав недоказанной принадлежность спорных платежей к алиментным обязательствам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