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Петрова Алексея Николаевича в Арбитражный суд города Москвы обратилось АО «ГЕНБАНК» (далее - банк) с требованием о включении задолженности в реестр требований кредиторов должника. Определением Арбитражного суда города Москвы от 11.03.2022 требование банка в размере 537 170 008 рублей 09 копеек, в том числе как обеспеченное залогом имущества должника, признано обоснованным и включено в третью очередь реестра требований кредиторов должника. Постановлением Девятого арбитражного апелляционного суда от 15.06.2022 определение суда первой инстанции оставлено без изменения. Арбитражный суд Московского округа постановлением от 04.10.2022 указанные судебные акты оставил без изменения. ООО «Юридическое сопровождение» обратилось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307, 325, 361, 363, 399 Гражданского кодекса Российской Федерации, статьями 71, 100, 138, 213.8 Федерального закона от 26.10.2002 № 127-ФЗ «О несостоятельности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того, что требование банка заявлено в связи с неисполнением заемщиками и поручителями кредитных обязательств, ответственность перед банком за неисполнение гражданско-правовой сделки и за причинение вреда (в данном случае привлечение должника к субсидиарной ответственности) имеет разную правовую природу, что дает возможность предъявления банком требований по каждому из оснований и такие требования не являются идентичными.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