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Хатина А.А. в Арбитражный суд Омской области обратились должник и Хатина Г.Я. с заявлением об исключении из конкурсной массы квартиры, 1305 акций (эмитент – ПАО КБ «ПФС-Банк») и нежилого помещения. Определением Арбитражного суда Омской области от 20.04.2022 заявление удовлетворено. Установив основания, предусмотренные частью 4 статьи 270 Арбитражного процессуального кодекса Российской Федерации, арбитражный суд апелляционной инстанции перешел к рассмотрению спора по правилам, установленным для рассмотрения дела в арбитражном суде первой инстанции, на основании части 6.1 статьи 268 АПК РФ. Постановлением Восьмого арбитражного апелляционного суда от 15.08.2022 определение суда первой инстанции отменено; из конкурсной массы должника исключены квартира, 1305 акций, нежилое помещение; денежные средства, полученные от реализации другой квартиры, причитающиеся Хатиной Г.Я., как участнику долевой собственности, включены в конкурсную массу должника. 2 Арбитражный суд Западно-Сибирского округа постановлением от 03.11.2022 постановление суда апелляционной инстанции оставил без изменения. Финансовый управляющий и кредитор обратились в Судебную коллегию по экономическим спорам Верховного Суда Российской Федерации с кассационными жалобами на принятые по спору постановления судов апелляционной и кассационной инстанций в части исключения квартиры из конкурсной массы, ссылаясь на существенные нарушения норм права. Согласно пункту 1 части 7 статьи 291.6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РФ). Таких оснований для пересмотра обжалуемых судебных актов в кассационном порядке по доводам жалоб не установлено. Исключая из конкурсной массы спорную квартиру, суды апелляционной и кассационной инстанций руководствовались статьей 213.25 Федерального закона от 26.10.2002 № 127-ФЗ «О несостоятельности (банкротстве)», статьей 446 Гражданского процессуального кодекса Российской Федерации и исходили из того, что для гражданина-должника и членов его семьи данное помещение является единственным пригодным для постоянного проживания жильем, учитывая инвалидности должника и его бывшей супруги, расположения в квартире реабилитационного оборудования, отказ бывшей супруги от причитающихся ей денежных средств от реализации другой квартиры.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