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Липатниковой О.А. в Арбитражный суд города Москвы обратился финансовый управляющий с заявлением о признании недействительным договора купли-продажи транспортного средства от 22.02.2018, заключенного с Липатниковой А.А., и применении последствий недействительности сделки. Определением Арбитражного суда города Москвы от 12.04.2022 заявление удовлетворено. Постановлением Девятого арбитражного апелляционного суда от 17.06.2022 определение суда первой инстанции изменено в части распределения судебных расходов, в остальной части определение оставлено без изменения. Арбитражный суд Московского округа постановлением от 14.09.2022 указанные судебные акты оставил без изменения. Липатникова О.А. и Липатникова А. А. обратились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пункта 2 статьи 61.2, статьями 61.6, 213.25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заявителем наличия совокупности обстоятельств, необходимой для признания спорной сделки недействительной как совершенной с целью причинения вреда имущественным правам кредиторов. В частности, судами установлено, что оспариваемая сделка совершена заинтересованными лицами, при наличии у должника неисполненных обязательств, финансовая состоятельность ответчика для расчетов по сделке не подтверждена, доказательств получения должником денежных средств от покупателя не представлено.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