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34 850 000 рублей и неустойки в размере 4 143 322 рублей 98 копеек, начисленной за период с 18.10.2018 по 09.07.2020. Определением Арбитражного суд Республики Башкортостан от 31.03.2022, оставленным без изменения постановлениями Восемнадцатого арбитражного апелляционного суда от 31.05.2022 и Арбитражного суда Уральского округа от 12.09.2022,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758 – 761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неподтвержденности факта наличия у должника задолженности перед обществом, в связи с чем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«ГеоВектор»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