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«НДКС» (далее – общество) обратилось в суд с заявлением о включении в реестр требований кредиторов должника (далее – реестр) требования в размере 95 793 372 рубля 75 копеек. Определением Арбитражного суда Новгородской области от 05.03.2022 требование общества в заявленном размере признано подлежащим рассмотрению после введения процедуры, следующей за процедурой наблюдения. Постановлением Четырнадцатого арбитражного апелляционного суда от 20.06.2022, оставленным без изменения постановлением Арбитражного суда Северо-Западного округа от 06.09.2022, данное определение отменено, требование общества направлено на новое рассмотрение по существу в суд первой инстанции. В кассационной жалобе, поданной в Верховный Суд Российской Федерации, заявитель просит отменить постановление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Направляя вопрос на новое рассмотрение, суды апелляционной инстанции и округа, руководствуясь статьями 71, 100 Федерального закона от 26.10.2002 № 127-ФЗ «О несостоятельности (банкротстве)», абзацем третьим пункта 20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документально подтвержденного факта своевременного обращения общества в суд с заявлением и ошибочности выводов суда первой инстанции о пропуске срока на его подачу.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(или) нории процессуального права, которые бы повлияли на исход судебного разбирательства,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«Ирбис»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