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Асеев В.В., Прокудин Н.В. и общество «Вифитех» обратились в суд с заявлениями, объединёнными в одно производство для совместного рассмотрения, в которых просили пересмотреть по вновь открывшимся обстоятельствам определение Арбитражного суда Московской области от 15.11.2016 о признании обоснованным и включении в состав третьей очереди реестра требований кредиторов должника требования компании «К.О. Биофарм С.А.» в размере 42 032 670 рублей 48 копеек. Определением Арбитражного суда Московской области от 28.02.2022, оставленным без изменения постановлениями Десятого арбитражного апелляционного суда от 20.06.2022 и Арбитражного суда Московского округа от 20.09.2022, в удовлетворении заявлений отказано.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Отказывая в удовлетворении заявлений, суды, руководствуясь статьями 309 – 312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них заявителями обстоятельства не отвечали признакам существенных, новых или вновь открывшихся, не свидетельствовали об ошибочности содержащихся в пересматриваемом ими судебном акте выводов суда первой инстанции.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кассационных жалоб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Асееву Вячеславу Вячеславовичу, закрытому акционерному обществу «Вифитех», Прокудину Николаю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