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03.03.2022, оставленным без изменения постановлением Восемнадцатого арбитражного апелляционного суда от 26.04.2022 и постановлением Арбитражного суда Уральского округа от 14.09.2022, в удовлетворении заявления отказано. В кассационной жалобе Шумкин Д.В. просит об отмене судебных актов вследствие неправильной оценки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представленные кредитором доказательства оказания должнику юридических услуг на заявленную сумму и наличия заемного обязательства и признали их не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в реестре должника.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Шумкину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