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спорным договором лизинга предусмотрено право ответчика (лизингодатель) на расторжение договора 2 в одностороннем порядке в случае неуплаты истцом (лизингополучатель) двух и (или) более лизинговых платежей; на дату направления ответчиком уведомления о расторжении договора у истца имелась задолженность более двух лизинговых платежей, доказательств обратного последним не представлено, руководствуясь статьями 309, 310, 450, 450.1, 452 Гражданского кодекса Российской Федерации¸ положениями Федерального закона от 29.10.1998 № 164-ФЗ «О финансовой аренде (лизинге)», суды первой и апелляционной инстанций пришли к выводу об отсутствии оснований для удовлетворения иска, с чем впоследствии согласился суд округа. Изложенные в кассационной жалобе доводы не подтверждают существенных нарушений судами норм материального и процессуального права, повлиявших на исход дела, по сути, свидетельствуют о несогласии заявителя с оценкой доказательств, данной судами, и установленными фактическими обстоятельствами дела, что не может служить достаточным основанием для пересмотра обжалуемых судебных актов в кассационном порядке Судебной коллегией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«Компания «СК»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