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Пермяковой Елены Евгеньевны в Арбитражный суд Челябинской области обратился кредитор - ООО «Промо-групп» с заявлением о признании недействительными сделками перечислений денежных средств на расчетный счет Пермякова Николая Геннадьевича в сумме 7 266 000 рублей и применении последствий недействительности сделки. Определением Арбитражного суда Челябинской области от 14.03.2022 в удовлетворении заявления отказано. Постановлением Восемнадцатого арбитражного апелляционного суда от 06.06.2022 определение суда первой инстанции оставлено без изменения. Арбитражный суд Уральского округа постановлением от 13.09.2022 указанные судебные акты оставил без изменения. ООО «Промо-групп» обратилось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заявления, суды руководствовались пунктом 2 статьи 61.2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недоказанности заявителем наличия совокупности обстоятельств, необходимой для признания оспариваемых сделок недействительными как совершенных с целью причинения вреда имущественным правам кредиторов. В частности, суды установили, что в результате совершения супругами оспариваемых безналичных платежей режим совместной собственности супругов в отношении данного имущества не изменился и объем имущественной массы должника не изменился, в связи с чем не имеется оснований для вывода о причинении сделкой вреда имущественным правам кредиторов.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