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01.02.2022, оставленным без изменения постановлением Десятого арбитражного апелляционного суда от 12.07.2022 и постановлением Арбитражного суда Московского округа от 12.10.2022, признаны обоснованными и включены во вторую очередь – недоимка по страховым взносам на обязательное пенсионное страхование в размере 76 037 рублей 44 копеек, в третью очередь – недоимка по иным налогам и сборам в размере 485 408 рублей 24 копеек, 135 286 рублей 66 копеек пеней и 2 000 рублей штрафа. В кассационной жалобе Максимов А.Н. просит об отмене судебных актов в отношении второй очереди, ссылаясь на отсутствие у должника статуса работодателя.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Очередность задолженности перед Пенсионным фондом определена в соответствии с законным определением и судебным толкованием статуса этого платежа.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Максимову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