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Волгоградской области от 19.05.2022, оставленным без изменения постановлением Двенадцатого арбитражного апелляционного суда от 14.07.2022 и постановлением Арбитражного суда Поволжского округа от 05.10.2022, в удовлетворении заявления отказано. В кассационных жалобах Бондаревы Н.Ю и В.С. просят об изменении мотивировочной части судебных актов в связи с нарушением пределов рассмотрения спора и противоречием ее другим судебным актам, Бондарев С.Н. – об отмене судебных актов в связи с неисследованием обстоятельств.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Приведенные обоснования не влекут изменения мотивировочных частей судебных актов, поскольку при установлении исполнительского иммунитета оцениваются действия должника, могущие повлиять на применение иммунитета (постановление конституционного Суда Российской Федерации от 26.04.2021 № 15-П). Довод должника о неосновательной оценке смены места жительства и сделок с имуществом также не влечет пересмотра судебных актов, поскольку выводы судов основаны на установленных обстоятельствах, а вопросы оценки не попадают под указанные основания для пересмотра.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Бондаревой Наталье Юрьевне, Бондареву Владиславу Сергеевичу и Бондареву Сергею Николаевичу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