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05.05.2022, оставленным без изменения постановлением Второго арбитражного апелляционного суда от 08.07.2022 и постановлением Арбитражного суда Волго-Вятского округа от 26.10.2022, в удовлетворении заявления отказано. В кассационной жалобе общество «Спецторг Плюс» просит об отмене судебных актов, ссылаясь на непроверку его доводов, непроведение оценки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 заявленных обстоятельств признаков, необходимых в силу части 2 статьи 311 Арбитражного процессуального кодекса Российской Федерации для пересмотра решения от 19.10.2021. Иная позиция подателя жалобы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«Спецторг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