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31.03.2022, оставленным без изменения постановлением Десятого арбитражного апелляционного суда от 14.06.2022 и постановлением Арбитражного суда Московского округа от 14.09.2022, заявление удовлетворено. В кассационной жалобе Гончар К.О. просит о частичной отмене судебных актов, ссылаясь на недоказанность принадлежности заявителю всего указанного им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спорные вещи являются собственностью Субботина С.В., суды, руководствуясь пунктом 3 статьи 213.25 Федерального закона от 26.10.2002 № 127-ФЗ «О несостоятельности (банкротстве)», удовлетворили его заявление.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 Кристине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