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Войкова П.К. в Арбитражный суд города Москвы обратился финансовый управляющий его имуществом с заявлением о признании недействительным договора дарения квартиры от 09.09.2017, заключенного с Войковой Е.В., и применении последствий недействительности сделки в виде возврата квартиры в конкурсную массу должника. Определением Арбитражного суда города Москвы от 04.03.2022 в удовлетворении заявления отказано. Постановлением Девятого арбитражного апелляционного суда от 22.06.2022 определение суда первой инстанции отменено, признан недействительным договор дарения квартиры и применены последствия недействительности сделки в виде возврата в конкурсную массу должника спорного недвижимого имущества. Постановлением Арбитражного суда Московского округа от 12.09.2022 постановление суда апелляционной инстанции оставлено без изменения. Должник обратился в Судебную коллегию Верховного Суда Российской Федерации с кассационной жалобой на принятые по обособленному спору 2 постановления суда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статьи 10 Гражданского кодекса Российской Федерации и исходили из того, что заключение направленной на нарушение прав и законных интересов кредиторов сделки, имеющей целью, в частности, уменьшение активов должника и его конкурсной массы путем отчуждения объекта недвижимости третьим лицам, является злоупотреблением гражданскими правами.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