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заявления о выдаче дубликата исполнительного листа, суд округа руководствовался статьями 321, 323 АПК РФ и пришел к выводу об отсутствии оснований для его выдачи, поскольку срок для предъявления исполнительного листа к исполнению истек, ходатайство о восстановлении срока на предъявление исполнительного листа 2 к исполнению не заявлено, доказательств утраты исполнительного листа службой судебных приставов не представлено. Изложенные в кассационной жалобе доводы не подтверждают нарушений судом округа норм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Дурдыева Ильи Тарасовича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