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Костромской области от 14.03.2022, оставленным без изменения постановлениями Второго арбитражного апелляционного суда от 15.06.2022 и Арбитражного суда Волго-Вятского округа от 03.10.2022, завершена процедура реализации имущества должника, отказано в применении к нему правило об освобождении от исполнения обязательств перед конкурсным кредитором – обществом с ограниченной ответственностью «НБК» (далее – общество), установленных определением Арбитражного суда Костромской области от 28.09.2021. В кассационной жалобе, поданной в Верховный Суд Российской Федерации, заявитель просит отменить указанные судебные акты в части неприменения в отношении должника правил об освобождении от исполнения требований общества и направить дело на новое рассмотрение.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213.28 Федерального закона от 26.10.2002 № 127-ФЗ «О несостоятельности (банкротстве)», исходили из несоответствия критерию добросовестности поведения Экарт Р.П., выразившееся в сообщении недостоверных сведений при совершении кредитных сделок, на которых основано требование общества к должнику. Выводы судов соответствуют нормам права, оснований для переоценки выводов судов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Экарт Регине Петровне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Е.С. Корнелюк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