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Сахалинской области от 29.04.2022, оставленным без изменения постановлением Пятого арбитражного апелляционного суда от 22.06.2022 и постановлением Арбитражного суда Дальневосточного округа от 06.09.2022, в пересмотре определения отказано. В кассационной жалобе Трофимов В.А. просит об отмене судебных актов, ссылаясь на ненадлежащую оценку заявленных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Суды правильно оценили отсутствие влияния заявленных обстоятельств на существо определения, необходимого в силу части 2 статьи 311 Арбитражного процессуального кодекса Российской Федерации для пересмотра этого судебного акта. Иная позиция подателя жалобы в отношении заявленных обстоятельств не создает основания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Трофимову Владимиру Алексеевичу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