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24.03.2022, оставленным без изменения постановлением Девятого арбитражного апелляционного суда от 06.06.2022 и постановлением Арбитражного суда Московского округа от 14.09.2022, заявление удовлетворено. В кассационной жалобе Шушарин А.А. просит об отмене судебных актов, ссылаясь на неправильную оценку обстоятельств заключения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должником в преддверии банкротства во вред интересам кредиторов недвижимого имущества в пользу сына признано судами создающим условия для недействительности договора в силу пункта 2 статьи 61.2 Федерального закона от 26.10.2002 № 127ФЗ «О несостоятельности (банкротстве)» и статьи 170 Гражданского кодекса Российской Федерации. Иная оценка обстоятельств заключения сделок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Шушарину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