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об отступном от 06.06.2018 № 1 от 06.06.2018 в части, заключенной между должником и публичным акционерным обществом «Сбербанк России» (далее – банк); применении последствий недействительности сделки. Определением Арбитражного суда Самарской области от 23.12.2021 заявление удовлетворено. Постановлением Одиннадцатого арбитражного апелляционного суда от 24.05.2022, оставленным без изменения постановлением Арбитражного суда Поволжского округа от 27.09.2022, вышеуказанное определение изменено, из резолютивной части судебного акта исключено словосочетание «и применить последствия недействительности сделки».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181, 199, 200 Гражданского кодекса Российской Федерации, пунктом 2 статьи 61.2, статьёй 138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установив, что в результате совершения оспариваемой сделки прекратились обязательства должника перед банком (залоговым кредитором) на сумму, превышающую стоимость выбывшего имущества, не был причинён вред имущественным правам кредиторов, и конкурсным управляющим пропущен годичный срок для оспаривания сделки, отказали в удовлетворении заявленных требований.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«Инвестиционная компания «Перспектива Плюс» Волкову Кириллу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