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исходя из установленных фактических обстоятельств, руководствуясь положениями законодательства, регулирующими спорные правоотношения, 2 суды отказали в удовлетворении исковых требований ввиду их необоснованности и документальной неподтвержденности. Доводы кассационной жалобы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сводятся к переоценке доказательств и установлению иных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«Контакт Интернэшнл»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