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«Измеритель» (далее – общество) обратилось в суд с заявлением о включении в реестр требований кредиторов должника задолженности в размере 732 467 509 рублей 54 копеек. Определением Арбитражного суда города Москвы от 28.06.2019 в удовлетворении заявления отказано. Постановлением Девятого арбитражного апелляционного суда от 12.09.2019, оставленным без изменения постановлением Арбитражного суда Московского округа от 21.11.2019, вышеуказанное определение отменено в части; требование общества в размере 701 670 950 рублей включено в третью очередь реестра.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включения требования общества в реестр,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 в обжалуемой части, апелляционный суд руководствовался статьями 313 , 423 Гражданского кодекса Российской Федерации, статьями 71, 100 Федерального закона № 127-ФЗ от 26.10.2002 «О несостоятельности (банкротстве)» и исходил из обоснованности требования общества, действовавшего добросовестно с целью пролонгации основного кредитного обязательства во избежание досрочного взыскания по нему, реально исполнившего в качестве поручителя за счёт привлечённых им денежных средств названное обязательство должника перед залоговым кредитором в целях сохранения активов последнего и прекращения залоговых обязательств, что само по себе не создало подконтрольную задолженность для последующего уменьшения требований независимых кредиторов и не нарушило их права.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 , 291.8 Арбитражного процессуального кодекса Российской Федерации, установил: отказать обществу с ограниченной ответственностью фирма «Водокомфорт»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ГУП "Экотехпром" (подробнее) ООО Бюро Крупный план (подробнее) ООО "ГСП-СЕРВИС" (подробнее) ООО "Константа Инжиниринг" (подробнее) ООО "Новые инженерные решения" в лице к/у Малахова А.А. (подробнее) ООО "Персона" (подробнее) ООО "РАМ-инжиниринг" (подробнее) ООО "СВАРГО ИНЖИНИРИНГ" (подробнее) ООО "ФОРМЕР" (подробнее) ПАО "Сбербанк России" в лице Московского банка (подробнее) Ответчики: ООО "Группа Модуль" (подробнее) Иные лица: SIA MODULEX INVEST (подробнее) в/у Карташова И.А. (подробнее) ООО "ВОДОКОМФОРТ" (подробнее) ООО "ЕАЕ"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