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«Финансовая строительная компания «Эверал» (далее – общество) обратилось в суд с заявлением о признании должника несостоятельным (банкротом). Определением Арбитражного суда Республики Татарстан от 03.03.2022, оставленным без изменения постановлениями Одиннадцатого арбитражного апелляционного суда от 18.05.2022 и Арбитражного суда Поволжской области от 15.09.2022, заявление признано обоснованным, в отношении должника введена процедура наблюдения. Требование общества в размере 1 182 784 рублей 08 копеек долга, 69 168 рублей 80 копеек процентов за пользование чужими денежными средствами и 24 884 рублей государственной пошлины включено в состав третьей очереди реестра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заявление обоснованным и вводя процедуру наблюдения, суды, руководствуясь статьями 3, 4, 7, 33, 48, 57, 61, 62, 71, 134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17.12.2009 № 91 «О порядке погашения расходов по делу о банкротстве», исходили из того, что требование общества, давшего согласие на финансирование процедуры банкротства, подтверждено документально, превышает установленное законодательством о банкротстве пороговое значение и не исполнено должником в течение трёх месяцев.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«Вентал»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