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Власенко А.А. обратился в суд с заявлением о пересмотре по вновь открывшимся обстоятельствам определения Арбитражного суда Ярославской области от 30.05.2019 о признании доказанным наличия оснований для привлечения бывших руководителей должника к субсидиарной ответственности в связи с непередачей конкурсному управляющему документации должника. Определением Арбитражного суда Ярославской области от 25.02.2022, оставленным без изменения постановлениями Второго арбитражного апелляционного суда от 20.05.2022 и Арбитражного суда Волго-Вятского от 08.09.2022,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суды руководствовались статьями 310 – 312 Арбитражного процессуального кодекса Российской Федерации, пунктами 3 –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исходили из того, что приводимые в нём обстоятельства не отвечали признакам новых или вновь открывшихся существенных обстоятельств, способных повлиять на выводы суда при принятии указанного к пересмотру судебного акта. При принятии обжалуемых судебных актов судами также учитывалось обстоятельство пропуска заявителем трёхмесячного срока на обращение с настоящим заявлением, что также исключало возможность его удовлетворения.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Власенко Адриану Андреевичу в передаче его кассационного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