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3 статьи 2911 Арбитражного процессуального кодекса Российской Федерации постановления арбитражных судов округов, которыми не были отменены или изменены судебные акты, принятые в порядке упрощенного производства, не подлежат обжалованию в Судебную коллегию Верховного Суда Российской Федерации. Поскольку судебные акты по настоящему делу приняты в порядке упрощенного производства и не были отменены или изменены судом округа, в силу части 3 статьи 2911 Арбитражного процессуального кодекса Российской Федерации вышеуказанные судебные акты не подлежат обжалованию в Судебную коллегию Верховного суда Российской Федерации. Учитывая изложенное, производство по кассационной жалобе подлежит прекращению применительно к пункту 1 части 1 статьи 150 Арбитражного процессуального кодекса Российской Федерации. Руководствуясь статьями 150, 184, 2911, 2915 АПК РФ,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«Спецпрофальянс» прекратить.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