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20.12.2022 обратилось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судья находит его подлежащим удовлетворению. Также обществом заявлено ходатайство о предоставлении отсрочки по уплате государственной пошлины за рассмотрение кассационной жалобы.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 статьей 64, пунктом 2 статьи 33322 и пунктом 1 статьи 33341 Налогового кодекса Российской Федерации. В данном случае заявителем представлены доказательства, свидетельствующие о невозможности исполнения обязанности по уплате государственной пошлины за рассмотрение кассационной жалобы, в связи с чем ходатайство об отсрочке уплаты государственной пошлины подлежит удовлетворению. Руководствуясь статьями 102, 117, 184, 185, 2912 Арбитражного процессуального кодекса Российской Федерации, статьями 64,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«ЕвроПоток» о восстановлении пропущенного срока и об отсрочке уплаты государственной пошлины при подаче кассационной жалобы удовлетворить. Срок на подачу кассационной жалобы восстановить. Предоставить заявителю отсрочку уплаты 3 000 рублей государственной пошлины при подаче кассационной жалобы до рассмотрения жалобы по существу.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