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Краснодарского края обратилась должник с заявлением об исключении из конкурсной массы квартиры, расположенной в г. Краснодаре. Определением Арбитражного суда Краснодарского края от 05.03.2022 заявление удовлетворено. Постановлением Пятнадцатого арбитражного апелляционного суда от 26.05.2022 определение суда первой инстанции отменено, в удовлетворении заявления отказано. Арбитражный суд Северо-Кавказского округа постановлением от 20.09.2022 постановление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апелляционной и кассационной инстанций руководствовались положениями статьи 213.25 Федерального закона от 26.10.2002 № 127-ФЗ «О несостоятельности (банкротстве)», статьей 446 Гражданского процессуального кодекса Российской Федерации, разъяснениями, изложенными в пункте 39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пункте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спорный объект недвижимости отчужден должником после возбуждения процедуры банкротства в пользу заинтересованных лиц, вступившим в законную силу судебным актом об оспаривании сделки установлено, что на момент рассмотрения спора должник не зарегистрирована и фактически не проживает в спорной квартире, действия должника по смене места регистрации после возврата спорной квартиры в конкурсную массу должника признаны недобросовестными, направленными на искусственное наделение квартиры исполнительским иммунитетом.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ААУ "Синергия" (подробнее) Ассоциации "Межрегиональная саморегулируемая организация арбитражных управляющих "Содействие" (подробнее) Ассоциация "КМ СРО АУ "Единство" (подробнее) Инспекция Федеральной налоговой службы №4 по г. Краснодару (подробнее) ИП Довлатбекян Мовсес Вагинакович в лице АУ Дмитрова Виталия Владимировича (подробнее) ИП Довлатбекян Мовсес Вагинакович в лице АУ Дмитрова Виталия Владимировича /1-й включенный кредитор/ (подробнее) ИФНС России №4 по г. Краснодару (подробнее) НПС СОПАУ "АЛЬЯНС УПРАВЛЯЮЩИХ" (подробнее) Росреестр (подробнее) Управление по вопросам семьи и детства Администрации МО г. Краснодар (подробнее) Управление по вопросам семьи и детства Администрации муниципального образования город Краснодар (подробнее) Управление Росреестра по Краснодарскому краю (подробнее) финансовый управляющий Маслянцев Иван Николаевич (подробнее) Финансовый управляющий Самарин Георгий Станиславович (подробнее) Ф/У Маслянцев И. Н. (подробнее) ф/у Самойлов-Самарин Г С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