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Вьюшкова С.Н. в Арбитражный суд города Москвы обратился финансовый управляющий Некрасов О.В. с заявлением об истребовании документов и сведений у ООО «Кудеяр» в отношении должника, а также взыскании с ООО «Кудеяр» судебной неустойки в размере 5 000 рублей за каждый день просрочки исполнения итогового судебного акта по дату фактического исполнения судебного акта. Определением Арбитражного суда города Москвы от 24.08.2022, оставленным без изменения постановлением Девятого арбитражного апелляционного суда от 17.10.2022, удовлетворено ходатайство об истребовании сведений у ООО «Кудеяр» и взыскана судебная неустойка в размере 200 рублей за каждый день просрочки исполнения судебного акта по дату фактического исполнения судебного акта. Должник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запрашиваемых сведений для проведения оценки рыночной стоимости доли владения должника в обществе обусловлена исполнением финансовым управляющим возложенных на него статьями 20.3, 213.9 Федерального закона от 26.10.2002 № 127-ФЗ «О несостоятельности (банкротстве)» обязанностей, получение этих сведений не выходит за пределы полномочий финансового управляющего и не противоречит положениям Закона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