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Мартынова О.С. в Арбитражный суд города Москвы обратился финансовый управляющий имуществом должника Харланов А.Л. с заявлением об утверждении Положения о порядке, об условиях и о сроках реализации имущества, находящегося в общей совместной собственности должника и его супруги Мартыновой М.А. (½ жилого дома, ½ земельного участка, жилого здания). Определением Арбитражного суда города Москвы от 13.04.2022 заявление удовлетворено частично, утверждено положение в редакции финансового управляющего в отношении Лота № 2 (жилое здание), установлена начальная продажная цена в размере 4 608 000 рублей; в удовлетворении заявления в остальной части отказано Постановлением Девятого арбитражного апелляционного суда от 23.06.2022 определение суда первой инстанции оставлено без изменения. Арбитражный суд Московского округа постановлением от 13.09.2022 указанные судебные акты отменил и направил обособленный спор на новое рассмотрение в суд первой инстанции. Должник и Мартынова М.А. обратились в Судебную коллегию по экономическим спорам Верховного Суда Российской Федерации с 2 кассационными жалобами на постановление окружного суда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