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03.06.2022, оставленным без изменения постановлением Второго арбитражного апелляционного суда от 21.07.2022 и постановлением Арбитражного суда Волго-Вятского округа от 03.10.2022, в удовлетворении заявления Соколова Н.М. об исправлении описки, допущенной в определении Арбитражного суда Костромской области от 12.05.2022,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Изменение существа мотивировочной части определения, требуемое Соколовым Н.М., не укладывается в пределы статьи 179 Арбитражного процессуального кодекса Российской Федерации, поэтому в ее применении к заявленным обстоятельствам правомерно отказано.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