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предприятие обратилось в суд с заявлением о включении в реестр требований кредиторов должника (далее – реестр) его требования в размере 53 773 775 рублей 29 копеек неустойки. Определением Арбитражного суда города Санкт-Петербурга и Ленинградской области от 24.01.2020, оставленным без изменения постановлением Тринадцатого арбитражного апелляционного суда от 26.05.2020, требование предприятия в заявленном размере включено в третью очередь реестра с удовлетворением после погашения основного долга. Постановлением Арбитражного суда Северо-Западного округа от 14.08.2020 вышеуказанные судебные акты отменены, дело направлено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заявитель просит отменить постановление суда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дело на новое рассмотрение, суд округа, руководствуясь статьями 329 , 330 , 702 , 708 Гражданского кодекса Российской Федерации, статьями 16, 49, 63, 71 Федерального закона от 26.10.2002 № 127-ФЗ «О несостоятельности (банкротстве)», исходил из того, что изложенные в них выводы основаны на неправильном применении норм материального права, неполном выяснении фактических обстоятельств дела, имеющихся в нём доказательств и доводов сторон.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удовлетворении либо отказе в удовлетворении его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«Центральный аэрогидродинамический институт имени профессора Н.Е. Жуковского»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"Петербургская сбытовая компания" (подробнее) МИФНС № "25 по СПб (подробнее) ООО "Биплант" (подробнее) Ответчики: АО "НАУЧНО-ИССЛЕДОВАТЕЛЬСКИЙ ПРОЕКТНО-КОНСТРУКТОРСКИЙ И ТЕХНОЛОГИЧЕСКИЙ АККУМУЛЯТОРНЫЙ ИНСТИТУТ "ИСТОЧНИК" (подробнее) Иные лица: АО "Завод "Прибор" (подробнее) АО "НПО ИТ" (подробнее) АО "Электроавтоматика" (подробнее) а/у Назаров Евгений Константинович (подробнее) ГК ПО КОСМИЧЕСКОЙ ДЕЯТЕЛЬНОСТИ РОСКОСМОС (подробнее) Институт им. А.В.Ржанова (подробнее) ПАО "Сбербанк России" (подробнее) Союз арбитражных управляющих "Континент" (Саморегулируемая организация) (подробнее) ФГУП ГЦСС в лице филиала - Управления специальной связи по городу Санкт-Петербургу и Ленинградской области (подробнее) Судьи дела: Корнелюк Е.С. (судья) (подробнее) Последние документы по делу: Определение от 1 августа 2022 г. по делу № А56-36529/2019 Определение от 8 апреля 2022 г. по делу № А56-36529/2019 Определение от 11 ноября 2020 г. по делу № А56-36529/2019 Показать все документы по этому делу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