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в Арбитражный суд Челябинской области с иском о взыскании с ООО «Карабашские абразивы» 232 240 рублей штрафа по статье 98 Федерального закона от 10.01.2003 № 18-ФЗ «Устав железнодорожного транспорта Российской Федерации» и 24 406 рублей 80 копеек недоплаченной провозной платы. К участию в деле в качестве третьего лица, не заявляющего самостоятельных требований относительно предмета спора, привлечено ООО «Карабашский абразивный завод». Решением Арбитражного суда Челябинской области от 21.01.2022, оставленным без изменения постановлением Восемнадцатого арбитражного апелляционного суда от 07.04.2022 и постановлением Арбитражного суда Уральского округа от 09.09.2022, иск удовлетворен. ООО «Карабашские абразивы»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несоответствие сведений о наименовании перевозимого груза в железнодорожной накладной, что привело к занижению размера провозных платежей, руководствуясь положениями статей 23, 25, 27, 98 Федерального закона от 10.01.2003 № 18-ФЗ «Устав железнодорожного транспорта Российской Федерации», статьями 784, 785, 793 Гражданского кодекса Российской Федерации, суды пришли к выводу о наличии оснований для применения к ответчику меры ответственности в виде штрафа и довзыскания провозной платы.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