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«Стройтрансгаз Трубопроводстрой» срок подачи кассационной жалобы на решение Арбитражного суда города Москвы от 21.04.2022, постановление Девятого арбитражного апелляционного суда от 22.06.2022 и постановление Арбитражного суда Московского округа от 12.10.2022 по делу № А40-254676/2021.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