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04.04.2022 заявление возвращено. Постановлением Девятого арбитражного апелляционного суда от 08.06.2022, оставленным без изменения постановлением Арбитражного суда Московского округа от 23.08.2022, определение от 04.04.2022 отменено, вопрос направлен на новое рассмотрение в Арбитражный суд города Москвы. В кассационной жалобе ФИО1 просит об отмене судебных актов апелляционного и окружного судов, ссылаясь на неосновательные восстановление обществу «РостТехСтрой» срока на апелляционное обжалование и неприменение моратория на возбуждение дела о банкротстве.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Доводы, приведенные в кассационной жалобе, являлись предметом рассмотрения судов, получили правовую оценку и не образуют оснований для пересмотра обжалуемых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ИФНС России №14 по г. Москве (подробнее) ООО "Росттехстрой"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