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30.08.2022 утверждено Положение о порядке, об условиях и сроках реализации имущества должника в редакции, представленной финансовым управляющим. Харитонов А.А. подал в апелляционный суд жалобу на указанное определение. Определением Одиннадцатого арбитражного апелляционного суда от 15.09.2022, оставленным без изменения постановлением Арбитражного суда Поволжского округа от 18.10.2022, апелляционная жалоба возвращена в связи с отсутствием у заявителя права на обжалование. В кассационной жалобе Харитонов А.А. просит отменить судебные акты о возвращении жалобы как незаконные. Согласно части 1 статьи 291.11 Кодекса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2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руководствовался статьями 34, 35 Федерального закона от 26.10.2002 № 127-ФЗ «О несостоятельности (банкротстве)», статьями 42, 264 Арбитражного процессуального кодекса Российской Федерации и тем, что заявитель не является участником дела о банкротстве, обжалуемое определение не затрагивает его прав и не возлагает на него каких-либо обязанностей.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Харитонову Андрею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