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«Вебмедиация» обратилось в Арбитражный суд Свердловской области с исковым заявлением к обществу с ограниченной ответственностью «Сибстройтранс» (далее – общество «Сибстройтранс») о взыскании 530 450 рублей. Решением Арбитражного суда Свердловской области от 18.02.2021 требования удовлетворены. Определением Семнадцатого арбитражного апелляционного суда от 24.08.2022, оставленным без изменения постановлением Арбитражного суда Уральского округа от 03.10.2022, в удовлетворении ходатайства ответчика о восстановлении пропущенного процессуального срока на подачу апелляционной жалобы отказано; апелляционная жалоба возвращена. В кассационной жалобе, поданной в Верховный Суд Российской Федерации, заявитель просит отменить судебные акты о возвращении апелляционной жалобы, ссылаясь на существенное нарушение судами норм процессуального права. В обоснование доводов жалобы заявитель указывает, что не знал о наличии, времени и месте рассмотрения спора по делу № А60-47797/2020, поскольку представитель общества «Сибстройтранс» не мог получить судебные извещения, так как в указании адресата судом была допущена опечатка.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Отказывая в удовлетворении ходатайства о восстановлении пропущенного процессуального срока и возвращая апелляционную жалобу, суд апелляционной инстанции, с выводами которого согласился суд округа, руководствовался статьями 9, 117, 257, 259, 264 АПК РФ, разъяснениями, изложенными в пункте 1 постановления Пленума Высшего Арбитражного Суда Российской Федерации от 30.07.2013 № 61 «О некоторых вопросах практики рассмотрения споров, связанных с достоверностью адреса юридического лица», в пункте 32 постановление Пленума Высшего Арбитражного суда Российской Федерации от 25.12.2013 № 99 «О процессуальных сроках», в пункте 67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в пунктах 12, 15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и исходил из того, что общество «Сибстройтранс» обратилось с апелляционной жалобой с пропуском срока на ее подачу и не привело уважительных причин для восстановления этого срока.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«Сибстройтранс»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