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Московского округа от 17.08.2022, оставленным без изменения определением того же суда от 06.09.2022, жалоба Волковой С.В. на определение Арбитражного суда Московской области от 24.01.2022 и постановление Десятого арбитражного апелляционного суда от 20.05.2022 возвращена в связи с пропуском срока подачи и отказом в восстановлении срока. В кассационной жалобе Волкова Е.В. просит отменить судебные акты как незаконные. Кассационная жалоба в части обжалования определения Арбитражного суда Московской области от 24.01.2022 и постановления Десятого арбитражного апелляционного суда от 20.05.2022 подана с нарушением подсудности, установленной частью 2 статьи 291.1 Арбитражного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оценил приведенную заявителем причину пропуска срока на подачу кассационной жалобы и установил отсутствие у нее объективного характера.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Волковой Елене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