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15.03.2022, оставленным без изменения постановлением Девятнадцатого арбитражного апелляционного суда от 01.07.2022 и постановлением Арбитражного суда Центрального округа от 13.09.2022, заявление удовлетворено. В кассационной жалобе Сеник Н.С. просит об отмене судебных актов, ссылаясь на отсутствие оценки ее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установленной в силу статей 35, 45 Семейного кодекса Российской Федерации презумпции расходования денежных средств на нужды семьи, не опровергнутой Сеник Н.С., поэтому признали ее обязанной в отношении спорного долга наряду с супругом.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Сеник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