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16.06.2022, оставленным без изменения постановлением Арбитражного суда Волго-Вятского округа от 29.09.2022,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Случаи для принятия дополнительного постановления, поименованные в части 1 статьи 178 Арбитражного процессуального кодекса Российской Федерации, отсутствуют,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